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shd w:val="clear" w:fill="FFFFFF"/>
        </w:rPr>
      </w:pPr>
      <w:r>
        <w:rPr>
          <w:rFonts w:hint="eastAsia" w:asciiTheme="majorEastAsia" w:hAnsiTheme="majorEastAsia" w:eastAsiaTheme="majorEastAsia" w:cstheme="majorEastAsia"/>
          <w:b/>
          <w:bCs/>
          <w:i w:val="0"/>
          <w:caps w:val="0"/>
          <w:color w:val="000000"/>
          <w:spacing w:val="0"/>
          <w:sz w:val="28"/>
          <w:szCs w:val="28"/>
          <w:shd w:val="clear" w:fill="FFFFFF"/>
        </w:rPr>
        <w:t>国内水路运输管理规定</w:t>
      </w:r>
    </w:p>
    <w:p>
      <w:pPr>
        <w:rPr>
          <w:rFonts w:hint="eastAsia" w:asciiTheme="minorEastAsia" w:hAnsiTheme="minorEastAsia" w:eastAsiaTheme="minorEastAsia" w:cstheme="minorEastAsia"/>
          <w:i w:val="0"/>
          <w:caps w:val="0"/>
          <w:color w:val="000000"/>
          <w:spacing w:val="0"/>
          <w:sz w:val="24"/>
          <w:szCs w:val="24"/>
          <w:shd w:val="clear" w:fill="FFFFFF"/>
          <w:lang w:eastAsia="zh-CN"/>
        </w:rPr>
      </w:pPr>
      <w:r>
        <w:rPr>
          <w:rFonts w:hint="eastAsia" w:asciiTheme="minorEastAsia" w:hAnsiTheme="minorEastAsia" w:eastAsiaTheme="minorEastAsia" w:cstheme="minorEastAsia"/>
          <w:i w:val="0"/>
          <w:caps w:val="0"/>
          <w:color w:val="000000"/>
          <w:spacing w:val="0"/>
          <w:sz w:val="24"/>
          <w:szCs w:val="24"/>
          <w:shd w:val="clear" w:fill="FFFFFF"/>
          <w:lang w:eastAsia="zh-CN"/>
        </w:rPr>
        <w:t>题注：</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2014年1月3日交通运输部发布</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根据2015年5月12日交通运输部《关于修改〈国内水路运输管理规定〉的决定》第一次修订</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根据2016年12月10日交通运输部《关于修改〈国内水路运输管理规定〉的决定》第二次修订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第一章　总　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第一条  为规范国内水路运输市场管理，维护水路运输经营活动各方当事人的合法权益，促进水路运输事业健康发展，依据《国内水路运输管理条例》制定本规定。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第二条  国内水路运输管理适用本规定。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本规定所称水路运输，是指始发港、挂靠港和目的港均在中华人民共和国管辖的通航水域内使用船舶从事的经营性旅客运输和货物运输。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第三条  水路运输按照经营区域分为沿海运输和内河运输，按照业务种类分为货物运输和旅客运输。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货物运输分为普通货物运输和危险货物运输。危险货物运输分为包装、散装固体和散装液体危险货物运输。散装液体危险货物运输包括液化气体船运输、化学品船运输、成品油船运输和原油船运输。普通货物运输包含拖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旅客运输包括普通客船运输、客货船运输和滚装客船运输。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第四条　交通运输部主管全国水路运输管理工作，并按照本规定具体实施有关水路运输管理工作。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县级以上地方人民政府交通运输主管部门主管本行政区域的水路运输管理工作。县级以上地方人民政府负责水路运输管理的部门或者机构（以下统称水路运输管理部门）具体实施水路运输管理工作。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第二章　水路运输经营者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第五条  申请经营水路运输业务，除个人申请经营内河普通货物运输业务外，申请人应当符合下列条件：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（一）具备企业法人资格。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（二）有明确的经营范围，包括经营区域和业务种类。经营水路旅客班轮运输业务的，还应当有班期、班次以及拟停靠的码头安排等可行的航线营运计划。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（三）有符合本规定要求的船舶，且自有船舶运力应当符合附件1的要求。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（四）有符合本规定要求的海务、机务管理人员。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（五）有符合本规定要求的与其直接订立劳动合同的高级船员。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（六）有健全的安全管理机构及安全管理人员设置制度、安全管理责任制度、安全监督检查制度、事故应急处置制度、岗位安全操作规程等安全管理制度。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第六条  个人只能申请经营内河普通货物运输业务，并应当符合下列条件：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（一）经工商行政管理部门登记的个体工商户；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（二）有符合本规定要求的船舶，且自有船舶运力不超过600总吨；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（三）有安全管理责任制度、安全监督检查制度、事故应急处置制度、岗位安全操作规程等安全管理制度。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第七条  水路运输经营者投入运营的船舶应当符合下列条件：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（二）持有有效的船舶所有权登记证书、船舶国籍证书、船舶检验证书以及按照相关法律、行政法规规定证明船舶符合安全与防污染和入级检验要求的其他证书。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（三）符合交通运输部关于船型技术标准、船龄以及节能减排的要求。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第八条  除个体工商户外，水路运输经营者应当配备满足下列要求的专职海务、机务管理人员：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（一）海务、机务管理人员数量满足附件2的要求；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（二）海务、机务管理人员的从业资历与其经营范围相适应：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1.经营普通货船运输的，应当具有不低于大副、大管轮的从业资历；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2.经营客船、危险品船运输的，应当具有船长、轮机长的从业资历。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（三）海务、机务管理人员所具备的业务知识和管理能力与其经营范围相适应，身体条件与其职责要求相适应。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第九条  除个体工商户外，水路运输经营者按照有关规定应当配备的高级船员中，与其直接订立一年以上劳动合同的高级船员的比例应当满足下列要求：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（一）经营普通货船运输的，高级船员的比例不低于25%；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（二）经营客船、危险品船运输的，高级船员的比例不低于50%。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第十条  交通运输部具体实施省际客船运输、省际危险品船运输的经营许可。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省级人民政府水路运输管理部门具体实施省际普通货船运输的经营许可。省内水路运输经营许可的具体权限由省级人民政府交通运输主管部门决定，向社会公布。但个人从事内河省际、省内普通货物运输的经营许可由设区的市级人民政府水路运输管理部门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第十一条  申请经营水路运输业务或者变更水路运输经营范围，应当向其所在地设区的市级人民政府水路运输管理部门提交申请书和证明申请人符合本规定要求的相关材料。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第十二条  受理申请的水路运输管理部门不具有许可权限的，当场核实申请材料中的原件与复印件的内容一致后，在5个工作日内提出初步审查意见并将全部申请材料转报至具有许可权限的部门。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第十三条  具有许可权限的部门，对符合条件的，应当在20个工作日内作出许可决定，向申请人颁发《国内水路运输经营许可证》，并向其投入运营的船舶配发《船舶营业运输证》。申请经营水路旅客班轮运输业务的，还应当向申请人颁发该班轮航线运营许可证件。不符合条件的，不予许可，并书面通知申请人不予许可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《国内水路运输经营许可证》和《船舶营业运输证》应当通过全国水路运政管理信息系统核发，并逐步实现行政许可网上办理。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第十四条  除购置或者光租已取得相应水路运输经营资格的船舶外，水路运输经营者新增客船、危险品船运力，应当经其所在地设区的市级人民政府水路运输管理部门向具有许可权限的部门提出申请。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水路运输经营者新增普通货船运力，应当在船舶开工建造后15个工作日内向所在地设区的市级人民政府水路运输管理部门备案。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第十五条  交通运输部在特定的旅客班轮运输和散装液体危险货物运输航线、水域出现运力供大于求状况，可能影响公平竞争和水路运输安全的情形下，可以决定暂停对特定航线、水域的旅客班轮运输和散装液体危险货物运输新增运力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暂停新增运力许可期间，对暂停范围内的新增运力申请不予许可，对申请投入运营的船舶，不予配发《船舶营业运输证》，但暂停决定生效前已取得新增运力批准且已开工建造、购置或者光租的船舶除外。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第十六条  交通运输部对水路运输市场进行监测，分析水路运输市场运力状况，定期公布监测结果。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对特定的旅客班轮运输和散装液体危险货物运输航线、水域暂停新增运力许可的决定，应当依据水路运输市场监测分析结果作出。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采取暂停新增运力许可的运力调控措施，应当符合公开、公平、公正的原则，在开始实施的60日前向社会公告，说明采取措施的理由以及采取措施的范围、期限等事项。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第十七条  《国内水路运输经营许可证》的有效期为5年。《船舶营业运输证》的有效期按照交通运输部的有关规定确定。水路运输经营者应当在证件有效期届满前的30日内向原许可机关提出换证申请。原许可机关应当依照本规定进行审查，符合条件的，予以换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第十八条  发生下列情况后，水路运输经营者应当在15个工作日内以书面形式向原许可机关备案，并提供相关证明材料：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（一）法定代表人或者主要股东发生变化；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（二）固定的办公场所发生变化；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（三）海务、机务管理人员发生变化；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（四）与其直接订立一年以上劳动合同的高级船员的比例发生变化；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（五）经营的船舶发生重大以上安全责任事故；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（六）委托的船舶管理企业发生变更或者委托管理协议发生变化。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第十九条  水路运输经营者终止经营的，应当自终止经营之日起15个工作日内向原许可机关办理注销手续，交回许可证件。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已取得《船舶营业运输证》的船舶报废、转让或者变更经营者，应当自发生上述情况之日起15个工作日内向原许可机关办理《船舶营业运输证》注销、变更手续。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第三章　水路运输经营行为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第二十条  水路运输经营者应当保持相应的经营资质条件，按照《国内水路运输经营许可证》核定的经营范围从事水路运输经营活动。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已取得省际水路运输经营资格的水路运输经营者和船舶，可凭省际水路运输经营资格从事相应种类的省内水路运输，但旅客班轮运输除外。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已取得沿海水路运输经营资格的水路运输经营者和船舶，可在满足航行条件的情况下，凭沿海水路运输经营资格从事相应种类的内河运输。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第二十一条  水路运输经营者不得出租、出借水路运输经营许可证件，或者以其他形式非法转让水路运输经营资格。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第二十二条  从事水路运输的船舶应当随船携带《船舶营业运输证》，不得转让、出租、出借或者涂改。《船舶营业运输证》遗失或者损毁的，应当及时向原配发机关申请补发。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第二十三条  水路运输经营者应该按照《船舶营业运输证》标定的载客定额、载货定额和经营范围从事旅客和货物运输，不得超载。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水路运输经营者使用客货船或者滚装客船载运危险货物时，不得载运旅客，但按照相关规定随船押运货物的人员和滚装车辆的司机除外。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第二十四条  水路运输经营者不得擅自改装客船、危险品船增加载客定额、载货定额或者变更从事散装液体危险货物运输的种类。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第二十五条  水路运输经营者应当使用规范的、符合有关法律法规和交通运输部规定的客票和运输单证。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第二十六条  水路旅客运输业务经营者应当拒绝携带国家规定的危险物品及其他禁止携带的物品的旅客乘船。船舶开航后发现旅客随船携带有危险物品及其他禁止携带的物品的，应当妥善处理，旅客应当予以配合。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第二十七条  水路旅客班轮运输业务经营者应当自取得班轮航线经营许可之日起60日内开航，并在开航的15日前通过媒体并在该航线停靠的各客运站点的明显位置向社会公布所使用的船舶、班期、班次、票价等信息，同时报原许可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旅客班轮应当按照公布的班期、班次运行。变更班期、班次、票价的，水路旅客班轮运输业务经营者应当在变更的15日前向社会公布，并报原许可机关备案。停止经营部分或者全部班轮航线的，经营者应当在停止经营的30日前向社会公布，并报原许可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第二十八条  水路货物班轮运输业务经营者应当在班轮航线开航的7日前，向社会公布所使用的船舶以及班期、班次和运价，并报原许可机关备案。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货物班轮运输应当按照公布的班期、班次运行；变更班期、班次、运价或者停止经营部分或者全部班轮航线的，水路货物班轮运输业务经营者应当在变更或者停止经营的7日前向社会公布，并报原许可机关备案。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第二十九条  水路旅客运输业务经营者应当以公布的票价销售客票，不得对相同条件的旅客实施不同的票价，不得以搭售、现金返还、加价等不正当方式变相变更公布的票价并获取不正当利益，不得低于客票载明的舱室或者席位等级安排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第三十条  水路运输经营者从事水路运输经营活动，应当依法经营，诚实守信，禁止以不合理的运价或者其他不正当方式、不规范行为争抢客源、货源及提供运输服务。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水路旅客运输业务经营者为招揽旅客发布信息，必须真实、准确，不得进行虚假宣传，误导旅客，对其在经营活动中知悉的旅客个人信息，应当予以保密。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第三十一条  水路旅客运输业务经营者应当就运输服务中的下列事项，以明示的方式向旅客作出说明或者警示：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（一）不适宜乘坐客船的群体；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（二）正确使用相关设施、设备的方法；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（三）必要的安全防范和应急措施；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（四）未向旅客开放的经营、服务场所和设施、设备；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（五）可能危及旅客人身、财产安全的其他情形。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第三十二条  水路运输经营者应当依照法律、行政法规和国家有关规定，优先运送处置突发事件所需物资、设备、工具、应急救援人员和受到突发事件危害的人员，重点保障紧急、重要的军事运输。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水路运输经营者应当服从交通运输主管部门对关系国计民生物资紧急运输的统一组织协调，按照要求优先、及时运输。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水路运输经营者应当按照交通运输主管部门的要求建立运输保障预案，并建立应急运输、军事运输和紧急运输的运力储备。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第三十三条  水路运输经营者应当按照国家统计规定报送运输经营统计信息。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第四章　外商投资企业和外国籍船舶的特别规定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第三十四条  外商投资企业申请从事水路运输，除满足本规定第五条规定的经营资质条件外，还应当符合下列条件：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（一）拟经营的范围内，国内水路运输经营者无法满足需求；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（二）应当具有经营水路运输业务的良好业绩和运营记录。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第三十五条  具有许可权限的部门可以根据国内水路运输实际情况，决定是否准许外商投资企业经营国内水路运输。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经批准取得水路运输经营许可的外商投资企业外方投资者或者外方投资股比等事项发生变化的，应当报原许可机关批准。原许可机关发现外商投资企业不再符合本规定要求的，应当撤销其水路运输经营资质。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第三十六条  符合下列情形并经交通运输部批准，水路运输经营者可以租用外国籍船舶在中华人民共和国港口之间从事不超过两个连续航次或者期限为30日的临时运输：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（一）没有满足所申请的运输要求的中国籍船舶；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（二）停靠的港口或者水域为对外开放的港口或者水域。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第三十七条  租用外国籍船舶从事临时运输的水路运输经营者，应当向交通运输部提交申请书、运输合同、拟使用的外籍船舶及船舶登记证书、船舶检验证书等相关证书和能够证明符合本规定规定情形的相关材料。申请书应当说明申请事由、承运的货物、运输航次或者期限、停靠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交通运输部应当自受理申请之日起15个工作日内，对申请事项进行审核。对符合规定条件的，作出许可决定并且颁发许可文件；对不符合条件的，不予许可，并书面通知申请人不予许可的理由。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第三十八条  临时从事水路运输的外国籍船舶，应当遵守水路运输管理的有关规定，按照批准的范围和期限进行运输。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第三十九条  交通运输部和水路运输管理部门依照有关法律、法规和本规定对水路运输市场实施监督检查。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第四十条  对水路运输市场实施监督检查，可以采取下列措施：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（一）向水路运输经营者了解情况，要求其提供有关凭证、文件及其他相关材料。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（二）对涉嫌违法的合同、票据、账簿以及其他资料进行查阅、复制。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（三）进入水路运输经营者从事经营活动的场所、船舶实地了解情况。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水路运输经营者应当配合监督检查，如实提供有关凭证、文件及其他相关资料。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第四十一条  水路运输管理部门对水路运输市场依法实施监督检查中知悉的被检查单位的商业秘密和个人信息应当依法保密。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第四十二条  实施现场监督检查的，应当当场记录监督检查的时间、内容、结果，并与被检查单位或者个人共同签署名章。被检查单位或者个人不签署名章的，监督检查人员对不签署的情形及理由应当予以注明。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第四十三条  水路运输管理部门在监督检查中发现水路运输经营者不符合本规定要求的经营资质条件的，应当责令其限期整改，并在整改期限结束后对该经营者整改情况进行复查，并作出整改是否合格的结论。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对运力规模达不到经营资质条件的整改期限最长不超过6个月，其他情形的整改期限最长不超过3个月。水路运输经营者在整改期间已开工建造但尚未竣工的船舶可以计入自有船舶运力。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第四十四条  水路运输管理部门应当建立健全水路运输市场诚信监督管理机制和服务质量评价体系，建立水路运输经营者诚信档案，记录水路运输经营者及从业人员的诚信信息，定期向社会公布监督检查结果和经营者的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水路运输管理部门应当建立水路运输违法经营行为社会监督机制，公布投诉举报电话、邮箱等，及时处理投诉举报信息。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管理部门应当将监督检查中发现或者受理投诉举报的经营者违法违规行为及处理情况、安全责任事故情况等记入诚信档案。违法违规情节严重可能影响经营资质条件的，对经营者给予提示性警告。不符合经营资质条件的，按照本规定第四十三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第四十五条  水路运输管理部门应当与当地海事管理机构建立联系机制，按照《国内水路运输管理条例》的要求，做好《船舶营业运输证》查验处理衔接工作，及时将本行政区域内水路运输经营者的经营资质保持情况通报当地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海事管理机构应当将有关水路运输船舶重大以上安全事故情况及结论意见及时书面通知该船舶经营者所在地设区的市级人民政府水路运输管理部门。水路运输管理部门应当将其纳入水路运输经营者诚信档案。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第四十六条  水路运输经营者未按照本规定要求配备海务、机务管理人员的，由其所在地县级以上人民政府水路运输管理部门责令改正，处1万元以上3万元以下的罚款。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第四十七条  水路运输经营者或其船舶在规定期限内，经整改仍不符合本规定要求的经营资质条件的，由其所在地县级以上人民政府水路运输管理部门报原许可机关撤销其经营许可或者船舶营运证件。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第四十八条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第四十九条  水路运输经营者违反本规定，有下列行为之一的，由其所在地县级以上人民政府水路运输管理部门责令改正，处2000元以上1万元以下的罚款；一年内累计三次以上违反的，处1万元以上3万元以下的罚款：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（一）未履行备案义务；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（二）未以公布的票价或者变相变更公布的票价销售客票；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（三）进行虚假宣传，误导旅客或者托运人；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（四）以不正当方式或者不规范行为争抢客源、货源及提供运输服务扰乱市场秩序；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（五）使用的运输单证不符合有关规定。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第五十条  水路运输经营者拒绝管理部门根据本规定进行的监督检查或者隐匿有关资料或瞒报、谎报有关情况的，由其所在地县级以上人民政府水路运输管理部门予以警告，并处2000元以上1万元以下的罚款。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第五十一条  违反本规定的其他规定应当进行处罚的，按照《国内水路运输管理条例》执行。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第五十二条  本规定下列用语的定义：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（一）自有船舶，是指水路运输经营者将船舶所有权登记为该经营者且归属该经营者的所有权份额不低于51%的船舶。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（二）班轮运输，是指在固定港口之间按照预定的船期向公众提供旅客、货物运输服务的经营活动。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第五十三条  依法设立的水路运输行业组织可以依照法律、行政法规和章程的规定，制定行业经营规范和服务标准，组织开展职业道德教育和业务培训，对其会员的经营行为和服务质量进行自律性管理。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水路运输行业组织可以建立行业诚信监督、约束机制，提高行业诚信水平。对守法经营、诚实信用的会员以及从业人员，可以给予表彰、奖励。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第五十四条  经营内地与香港特别行政区、澳门特别行政区，以及大陆地区与台湾地区之间的水路运输，不适用于本规定。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在香港特别行政区、澳门特别行政区进行船籍登记的船舶临时从事内地港口之间的运输，在台湾地区进行船籍登记的船舶临时从事大陆港口之间的运输，参照适用本规定关于外国籍船舶的有关规定。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第五十五条  载客12人以下的客船运输、乡镇客运渡船运输以及与外界不通航的公园、封闭性风景区内的水上旅客运输不适用本规定。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第五十六条  本规定自2014年3月1日起施行。2008年5月26日交通运输部以交通运输部令2008年第2号公布的《国内水路运输经营资质管理规定》、1987年9月22日交通部以（87）交河字680号文公布、1998年3月6日以交水发〔1998〕107号文修改、2009年6月4日交通运输部以交通运输部令2009年第6号修改的《水路运输管理条例实施细则》、1990年9月28日交通部以交通部令1990年第22号公布、2009年交通运输部令2009年第7号修改的《水路运输违章处罚规定》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华文楷体" w:hAnsi="华文楷体" w:eastAsia="华文楷体" w:cs="华文楷体"/>
          <w:i w:val="0"/>
          <w:caps w:val="0"/>
          <w:color w:val="000000"/>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sz w:val="28"/>
          <w:szCs w:val="28"/>
          <w:bdr w:val="none" w:color="auto" w:sz="0" w:space="0"/>
          <w:shd w:val="clear" w:fill="FFFFFF"/>
        </w:rPr>
        <w:t>水路运输经营者自有船舶运力最低限额表</w:t>
      </w:r>
    </w:p>
    <w:tbl>
      <w:tblPr>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47"/>
        <w:gridCol w:w="1437"/>
        <w:gridCol w:w="1437"/>
        <w:gridCol w:w="801"/>
        <w:gridCol w:w="824"/>
        <w:gridCol w:w="831"/>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174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287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ascii="仿宋" w:hAnsi="仿宋" w:eastAsia="仿宋" w:cs="仿宋"/>
                <w:i w:val="0"/>
                <w:caps w:val="0"/>
                <w:color w:val="333333"/>
                <w:spacing w:val="0"/>
                <w:sz w:val="24"/>
                <w:szCs w:val="24"/>
                <w:bdr w:val="none" w:color="auto" w:sz="0" w:space="0"/>
              </w:rPr>
              <w:t>沿         海</w:t>
            </w:r>
          </w:p>
        </w:tc>
        <w:tc>
          <w:tcPr>
            <w:tcW w:w="3893"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内         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rPr>
        <w:tc>
          <w:tcPr>
            <w:tcW w:w="174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省    际</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省    内</w:t>
            </w:r>
          </w:p>
        </w:tc>
        <w:tc>
          <w:tcPr>
            <w:tcW w:w="245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省    际</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省    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长江</w:t>
            </w:r>
          </w:p>
        </w:tc>
        <w:tc>
          <w:tcPr>
            <w:tcW w:w="8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西江</w:t>
            </w:r>
          </w:p>
        </w:tc>
        <w:tc>
          <w:tcPr>
            <w:tcW w:w="83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其他</w:t>
            </w: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普通货船（总吨）</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5000</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1000</w:t>
            </w:r>
          </w:p>
        </w:tc>
        <w:tc>
          <w:tcPr>
            <w:tcW w:w="80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5000</w:t>
            </w:r>
          </w:p>
        </w:tc>
        <w:tc>
          <w:tcPr>
            <w:tcW w:w="824"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3000</w:t>
            </w:r>
          </w:p>
        </w:tc>
        <w:tc>
          <w:tcPr>
            <w:tcW w:w="83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1000</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成品油船（总吨）</w:t>
            </w: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2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3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化学品船（总吨）</w:t>
            </w: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2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3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5"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液化气船（立方米）</w:t>
            </w: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45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2000</w:t>
            </w: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原油船（总吨）</w:t>
            </w:r>
          </w:p>
        </w:tc>
        <w:tc>
          <w:tcPr>
            <w:tcW w:w="14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35000</w:t>
            </w:r>
          </w:p>
        </w:tc>
        <w:tc>
          <w:tcPr>
            <w:tcW w:w="14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5000</w:t>
            </w:r>
          </w:p>
        </w:tc>
        <w:tc>
          <w:tcPr>
            <w:tcW w:w="245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15000</w:t>
            </w:r>
          </w:p>
        </w:tc>
        <w:tc>
          <w:tcPr>
            <w:tcW w:w="14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拖航（千瓦）</w:t>
            </w:r>
          </w:p>
        </w:tc>
        <w:tc>
          <w:tcPr>
            <w:tcW w:w="14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5000</w:t>
            </w:r>
          </w:p>
        </w:tc>
        <w:tc>
          <w:tcPr>
            <w:tcW w:w="533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普通客船（客位）</w:t>
            </w:r>
          </w:p>
        </w:tc>
        <w:tc>
          <w:tcPr>
            <w:tcW w:w="14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400</w:t>
            </w:r>
          </w:p>
        </w:tc>
        <w:tc>
          <w:tcPr>
            <w:tcW w:w="14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200</w:t>
            </w:r>
          </w:p>
        </w:tc>
        <w:tc>
          <w:tcPr>
            <w:tcW w:w="245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400</w:t>
            </w:r>
          </w:p>
        </w:tc>
        <w:tc>
          <w:tcPr>
            <w:tcW w:w="14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客货船</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3000总吨及400客位</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1000总吨及100客位</w:t>
            </w:r>
          </w:p>
        </w:tc>
        <w:tc>
          <w:tcPr>
            <w:tcW w:w="2456" w:type="dxa"/>
            <w:gridSpan w:val="3"/>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1000总吨及100客位</w:t>
            </w:r>
          </w:p>
        </w:tc>
        <w:tc>
          <w:tcPr>
            <w:tcW w:w="1437"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300总吨及50客位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7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滚装客船</w:t>
            </w: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456" w:type="dxa"/>
            <w:gridSpan w:val="3"/>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37"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华文楷体" w:hAnsi="华文楷体" w:eastAsia="华文楷体" w:cs="华文楷体"/>
          <w:i w:val="0"/>
          <w:caps w:val="0"/>
          <w:color w:val="000000"/>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8"/>
          <w:szCs w:val="28"/>
          <w:bdr w:val="none" w:color="auto" w:sz="0" w:space="0"/>
          <w:shd w:val="clear" w:fill="FFFFFF"/>
        </w:rPr>
        <w:t>海务、机务管理人员最低配额表（人）</w:t>
      </w:r>
    </w:p>
    <w:tbl>
      <w:tblPr>
        <w:tblW w:w="8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8"/>
        <w:gridCol w:w="1233"/>
        <w:gridCol w:w="772"/>
        <w:gridCol w:w="873"/>
        <w:gridCol w:w="986"/>
        <w:gridCol w:w="948"/>
        <w:gridCol w:w="974"/>
        <w:gridCol w:w="940"/>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5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23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77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1-5艘</w:t>
            </w:r>
          </w:p>
        </w:tc>
        <w:tc>
          <w:tcPr>
            <w:tcW w:w="87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6-10艘</w:t>
            </w:r>
          </w:p>
        </w:tc>
        <w:tc>
          <w:tcPr>
            <w:tcW w:w="98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11-20艘</w:t>
            </w:r>
          </w:p>
        </w:tc>
        <w:tc>
          <w:tcPr>
            <w:tcW w:w="94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21-30艘</w:t>
            </w:r>
          </w:p>
        </w:tc>
        <w:tc>
          <w:tcPr>
            <w:tcW w:w="97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31-40艘</w:t>
            </w:r>
          </w:p>
        </w:tc>
        <w:tc>
          <w:tcPr>
            <w:tcW w:w="9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41-50艘</w:t>
            </w:r>
          </w:p>
        </w:tc>
        <w:tc>
          <w:tcPr>
            <w:tcW w:w="127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&gt;50艘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rPr>
        <w:tc>
          <w:tcPr>
            <w:tcW w:w="508"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海</w:t>
            </w:r>
          </w:p>
        </w:tc>
        <w:tc>
          <w:tcPr>
            <w:tcW w:w="12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普通货船</w:t>
            </w:r>
          </w:p>
        </w:tc>
        <w:tc>
          <w:tcPr>
            <w:tcW w:w="16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w:t>
            </w:r>
          </w:p>
        </w:tc>
        <w:tc>
          <w:tcPr>
            <w:tcW w:w="98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w:t>
            </w:r>
          </w:p>
        </w:tc>
        <w:tc>
          <w:tcPr>
            <w:tcW w:w="9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w:t>
            </w:r>
          </w:p>
        </w:tc>
        <w:tc>
          <w:tcPr>
            <w:tcW w:w="191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4</w:t>
            </w:r>
          </w:p>
        </w:tc>
        <w:tc>
          <w:tcPr>
            <w:tcW w:w="12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每增加20艘增加1人，不足20艘按20艘计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508"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危险品船</w:t>
            </w:r>
          </w:p>
        </w:tc>
        <w:tc>
          <w:tcPr>
            <w:tcW w:w="77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w:t>
            </w:r>
          </w:p>
        </w:tc>
        <w:tc>
          <w:tcPr>
            <w:tcW w:w="873"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w:t>
            </w:r>
          </w:p>
        </w:tc>
        <w:tc>
          <w:tcPr>
            <w:tcW w:w="98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w:t>
            </w:r>
          </w:p>
        </w:tc>
        <w:tc>
          <w:tcPr>
            <w:tcW w:w="948"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4</w:t>
            </w:r>
          </w:p>
        </w:tc>
        <w:tc>
          <w:tcPr>
            <w:tcW w:w="974"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5</w:t>
            </w:r>
          </w:p>
        </w:tc>
        <w:tc>
          <w:tcPr>
            <w:tcW w:w="9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6</w:t>
            </w:r>
          </w:p>
        </w:tc>
        <w:tc>
          <w:tcPr>
            <w:tcW w:w="127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每增加10艘增加1人，不足10艘按10艘计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508"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客   船</w:t>
            </w:r>
          </w:p>
        </w:tc>
        <w:tc>
          <w:tcPr>
            <w:tcW w:w="77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873"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98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94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97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9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7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5" w:hRule="atLeast"/>
        </w:trPr>
        <w:tc>
          <w:tcPr>
            <w:tcW w:w="508"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河</w:t>
            </w:r>
          </w:p>
        </w:tc>
        <w:tc>
          <w:tcPr>
            <w:tcW w:w="12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普通货船</w:t>
            </w:r>
          </w:p>
        </w:tc>
        <w:tc>
          <w:tcPr>
            <w:tcW w:w="16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w:t>
            </w:r>
          </w:p>
        </w:tc>
        <w:tc>
          <w:tcPr>
            <w:tcW w:w="3848"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w:t>
            </w:r>
          </w:p>
        </w:tc>
        <w:tc>
          <w:tcPr>
            <w:tcW w:w="12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每增加50艘增加1人，不足50艘按50艘计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508"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3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危险品船</w:t>
            </w:r>
          </w:p>
        </w:tc>
        <w:tc>
          <w:tcPr>
            <w:tcW w:w="164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1</w:t>
            </w:r>
          </w:p>
        </w:tc>
        <w:tc>
          <w:tcPr>
            <w:tcW w:w="98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2</w:t>
            </w:r>
          </w:p>
        </w:tc>
        <w:tc>
          <w:tcPr>
            <w:tcW w:w="948"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3</w:t>
            </w:r>
          </w:p>
        </w:tc>
        <w:tc>
          <w:tcPr>
            <w:tcW w:w="1914"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4</w:t>
            </w:r>
          </w:p>
        </w:tc>
        <w:tc>
          <w:tcPr>
            <w:tcW w:w="127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jc w:val="center"/>
            </w:pPr>
            <w:r>
              <w:rPr>
                <w:rFonts w:hint="eastAsia" w:ascii="仿宋" w:hAnsi="仿宋" w:eastAsia="仿宋" w:cs="仿宋"/>
                <w:i w:val="0"/>
                <w:caps w:val="0"/>
                <w:color w:val="333333"/>
                <w:spacing w:val="0"/>
                <w:sz w:val="24"/>
                <w:szCs w:val="24"/>
                <w:bdr w:val="none" w:color="auto" w:sz="0" w:space="0"/>
              </w:rPr>
              <w:t>每增加20艘增加1人，不足20艘按20艘计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rPr>
        <w:tc>
          <w:tcPr>
            <w:tcW w:w="508"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33" w:type="dxa"/>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64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98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94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914"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7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bl>
    <w:p>
      <w:pPr>
        <w:rPr>
          <w:rFonts w:hint="eastAsia" w:asciiTheme="minorEastAsia" w:hAnsiTheme="minorEastAsia" w:eastAsiaTheme="minorEastAsia" w:cstheme="minorEastAsia"/>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D0A7D"/>
    <w:rsid w:val="798D0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2020-02-20T09:50:00Z</dcterms:created>
  <dc:creator>断桥残雪</dc:creator>
  <cp:lastModifiedBy>断桥残雪</cp:lastModifiedBy>
  <dcterms:modified xsi:type="dcterms:W3CDTF">2020-02-20T09:52:45Z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