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沿海海域船舶排污设备铅封管理规定</w:t>
      </w:r>
    </w:p>
    <w:p>
      <w:pPr>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eastAsia="zh-CN"/>
        </w:rPr>
        <w:t>题注：</w:t>
      </w:r>
    </w:p>
    <w:p>
      <w:p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2007年5月1日实施。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为规范沿海船舶排污行为，限制船舶油类污染物的排放，保护水域环境，依据《中华人民共和国海洋环境保护法》、《中华人民共和国防止船舶污染海域管理条例》等有关法律法规，制定本管理规定。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本管理规定适用于中华人民共和国管辖海域。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国家对下述船舶的排污设备实施铅封管理：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（一）适用于交通部《渤海海域船舶排污设备铅封程序规定》范围的船舶；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（二）船舶检验证书中注明为遮蔽航区的船舶；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（三）仅在港口水域范围内航行、作业的船舶；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（四）辽东半岛至山东半岛间、雷州半岛至海南岛间定线航线的船舶；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（五）主管机关根据辖区情况确定的特殊航线或水域内航行、作业的船舶。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中华人民共和国海事局负责全国船舶的铅封管理工作。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交通部设立的各级海事管理机构依据各自职责范围，负责本辖区船舶的铅封实施和现场监管工作。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禁止本管理规定适用的船舶向沿海海域排放油类污染物。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船舶所产生的油类污染物须定期排放至岸上或水上移动接收设施。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第六条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除机舱通岸接头（接收出口）管系外，船舶的油污水系统的排放阀以及能够替代该系统工作的其它系统与油污水管路直接相连的阀门应予以铅封。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对船舶实施铅封前，船舶应提供与实际情况相符的机舱管系布置图，并派员配合海事执法人员做好铅封准备工作，使有关人员能迅速掌握情况。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第八条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对船舶实施铅封中，船舶和海事执法人员应：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（一）核查图纸与机舱管系是否一致；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（二）核实拟铅封阀门的作用；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（三）确认相关管系中无油污水存在；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（四）确认拟铅封阀门已经关闭紧；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（五）停止一切与油污水有关的油类活动。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在实施铅封过程中，船舶轮机长应全程在场陪同，并确认铅封位置。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第九条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对船舶铅封完毕后，海事执法人员应填写《船舶排污设备铅封检查表》，由船舶和海事执法人员签字盖章确认。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《船舶排污设备铅封检查表》一式两份，由船舶和实施铅封的海事管理机构各持一份备查。《船舶排污设备铅封检查表》应在船上保存，直至铅封设施重新开封使用为止。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船舶排污设备一经铅封后，船舶应对铅封的位置予以标识，并有责任使船员了解相应的注意事项，始终保持铅封完好。如果发现铅封有损坏现象，应及时向海事管理机构报告。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第十一条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在危及船舶、人命和财产安全的紧急情况下，船舶必须启封被铅封阀门时，船舶可自行启封，事后应尽快向实施铅封的或就近的海事管理机构报告，并在《轮机日志》和《油类记录簿》中作相应的记载。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第十二条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如因本管理规定第十一条原因发生污染事故，船舶应在保证安全的情况下尽快采取措施进行打捞清除，并接受海事管理机构的调查处理。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启封后的船舶，事后应重新申请海事管理机构进行铅封，并在申请中注明启封原因。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第十四条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适用本管理规定的船舶因故不再符合第三条规定时，应向实施铅封的海事管理机构申请启封。启封前，船上的油污水应排放到岸上接收设施，并在《轮机日志》中记载启封的时间和船舶的位置。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第十五条  </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海事管理机构对船舶的铅封状况随时进行检查，发现有擅自启封或未做标记的船舶，将依据有关规定给予相应处罚。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第十六条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本管理规定由交通部负责解释。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第十七条</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本管理规定自2007年5月1日起实施。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铅 封 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铅封使用的铅封钳由交通部海事局统一组织配备，铅封工具需要数量由各海事局与天津海事局联系。铅袋应为由正规厂家生产的一次性产品，质量必须可靠，能保证铅封后的紧固。铅封钳夹口两侧为可拆卸的圆柱型螺母，两螺母相对重合的表面分别为“MSA”标记和阿拉伯数字的钢印。阿拉伯数字四位依次排列：前两位为直属局代号；后两位代表分支局或直属海事处（具体编号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铅封钳编号表</w:t>
      </w:r>
    </w:p>
    <w:tbl>
      <w:tblPr>
        <w:tblW w:w="8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65"/>
        <w:gridCol w:w="2511"/>
        <w:gridCol w:w="1365"/>
        <w:gridCol w:w="3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13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编号</w:t>
            </w:r>
          </w:p>
        </w:tc>
        <w:tc>
          <w:tcPr>
            <w:tcW w:w="251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直属局</w:t>
            </w:r>
          </w:p>
        </w:tc>
        <w:tc>
          <w:tcPr>
            <w:tcW w:w="13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编号</w:t>
            </w:r>
          </w:p>
        </w:tc>
        <w:tc>
          <w:tcPr>
            <w:tcW w:w="335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分支局/直属海事处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辽宁</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大连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锦州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葫芦岛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丹东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庄河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河北</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秦皇岛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唐山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黄骅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天津</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新港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南疆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海河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北港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山东</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济南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烟台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龙口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潍坊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滨州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东营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07</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威海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08</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日照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09</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青岛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江苏</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连云港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扬州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江阴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张家港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南通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07</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镇江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08</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泰州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09</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常州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10</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常熟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太仓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上海</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外高桥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宝山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吴淞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兰州路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董家渡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吴泾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07</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08</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09</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洋山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07</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浙江</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嘉兴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宁波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舟山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台州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08</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福建</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福州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漳州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泉州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宁德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莆田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09</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广东</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广州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汕头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湛江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珠海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佛山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中山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07</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江门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08</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东莞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09</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肇庆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10</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云浮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惠州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青远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茂名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阳江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汕尾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潮州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17</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揭阳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18</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梅州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19</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河源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20</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韶关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10</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深圳</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大亚湾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盐田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蛇口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南山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宝安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11</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广西</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南宁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柳州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河池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梧州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06</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防城港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07</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贵港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08</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钦州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09</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北海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12</w:t>
            </w:r>
          </w:p>
        </w:tc>
        <w:tc>
          <w:tcPr>
            <w:tcW w:w="25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海南</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01</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海口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02</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清谰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03</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三亚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04</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25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05</w:t>
            </w:r>
          </w:p>
        </w:tc>
        <w:tc>
          <w:tcPr>
            <w:tcW w:w="33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洋浦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船舶排污管系铅封检查表</w:t>
      </w:r>
    </w:p>
    <w:tbl>
      <w:tblPr>
        <w:tblW w:w="8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01"/>
        <w:gridCol w:w="1233"/>
        <w:gridCol w:w="1234"/>
        <w:gridCol w:w="1237"/>
        <w:gridCol w:w="942"/>
        <w:gridCol w:w="1170"/>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0" w:hRule="atLeast"/>
        </w:trPr>
        <w:tc>
          <w:tcPr>
            <w:tcW w:w="70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船舶情况</w:t>
            </w:r>
          </w:p>
        </w:tc>
        <w:tc>
          <w:tcPr>
            <w:tcW w:w="123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船名</w:t>
            </w:r>
          </w:p>
        </w:tc>
        <w:tc>
          <w:tcPr>
            <w:tcW w:w="123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c>
          <w:tcPr>
            <w:tcW w:w="123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船舶种类</w:t>
            </w:r>
          </w:p>
        </w:tc>
        <w:tc>
          <w:tcPr>
            <w:tcW w:w="94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c>
          <w:tcPr>
            <w:tcW w:w="11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总吨/主机功率</w:t>
            </w:r>
          </w:p>
        </w:tc>
        <w:tc>
          <w:tcPr>
            <w:tcW w:w="199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0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呼号</w:t>
            </w:r>
          </w:p>
        </w:tc>
        <w:tc>
          <w:tcPr>
            <w:tcW w:w="123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c>
          <w:tcPr>
            <w:tcW w:w="12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船籍港</w:t>
            </w:r>
          </w:p>
        </w:tc>
        <w:tc>
          <w:tcPr>
            <w:tcW w:w="94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c>
          <w:tcPr>
            <w:tcW w:w="11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泊位</w:t>
            </w:r>
          </w:p>
        </w:tc>
        <w:tc>
          <w:tcPr>
            <w:tcW w:w="199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70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Theme="minorEastAsia" w:hAnsiTheme="minorEastAsia" w:eastAsiaTheme="minorEastAsia" w:cstheme="minorEastAsia"/>
                <w:i w:val="0"/>
                <w:caps w:val="0"/>
                <w:color w:val="auto"/>
                <w:spacing w:val="0"/>
                <w:sz w:val="24"/>
                <w:szCs w:val="24"/>
              </w:rPr>
            </w:pP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船舶所有人</w:t>
            </w:r>
          </w:p>
        </w:tc>
        <w:tc>
          <w:tcPr>
            <w:tcW w:w="123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c>
          <w:tcPr>
            <w:tcW w:w="12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船舶经营人</w:t>
            </w:r>
          </w:p>
        </w:tc>
        <w:tc>
          <w:tcPr>
            <w:tcW w:w="94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c>
          <w:tcPr>
            <w:tcW w:w="11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航行区域</w:t>
            </w:r>
          </w:p>
        </w:tc>
        <w:tc>
          <w:tcPr>
            <w:tcW w:w="199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1" w:hRule="atLeast"/>
        </w:trPr>
        <w:tc>
          <w:tcPr>
            <w:tcW w:w="7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况</w:t>
            </w:r>
          </w:p>
        </w:tc>
        <w:tc>
          <w:tcPr>
            <w:tcW w:w="7810" w:type="dxa"/>
            <w:gridSpan w:val="6"/>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1、油水分离器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2、油水分离器排放阀的位置</w:t>
            </w:r>
            <w:r>
              <w:rPr>
                <w:rFonts w:hint="eastAsia" w:asciiTheme="minorEastAsia" w:hAnsiTheme="minorEastAsia" w:eastAsiaTheme="minorEastAsia" w:cstheme="minorEastAsia"/>
                <w:i w:val="0"/>
                <w:caps w:val="0"/>
                <w:color w:val="auto"/>
                <w:spacing w:val="0"/>
                <w:sz w:val="24"/>
                <w:szCs w:val="24"/>
                <w:u w:val="single"/>
                <w:bdr w:val="none" w:color="auto" w:sz="0" w:space="0"/>
              </w:rPr>
              <w:t>                          </w:t>
            </w:r>
            <w:r>
              <w:rPr>
                <w:rFonts w:hint="eastAsia" w:asciiTheme="minorEastAsia" w:hAnsiTheme="minorEastAsia" w:eastAsiaTheme="minorEastAsia" w:cstheme="minorEastAsia"/>
                <w:i w:val="0"/>
                <w:caps w:val="0"/>
                <w:color w:val="auto"/>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3、可能排放油污水的管路阀门的位置</w:t>
            </w:r>
            <w:r>
              <w:rPr>
                <w:rFonts w:hint="eastAsia" w:asciiTheme="minorEastAsia" w:hAnsiTheme="minorEastAsia" w:eastAsiaTheme="minorEastAsia" w:cstheme="minorEastAsia"/>
                <w:i w:val="0"/>
                <w:caps w:val="0"/>
                <w:color w:val="auto"/>
                <w:spacing w:val="0"/>
                <w:sz w:val="24"/>
                <w:szCs w:val="24"/>
                <w:u w:val="single"/>
                <w:bdr w:val="none" w:color="auto" w:sz="0" w:space="0"/>
              </w:rPr>
              <w:t>                  </w:t>
            </w:r>
            <w:r>
              <w:rPr>
                <w:rFonts w:hint="eastAsia" w:asciiTheme="minorEastAsia" w:hAnsiTheme="minorEastAsia" w:eastAsiaTheme="minorEastAsia" w:cstheme="minorEastAsia"/>
                <w:i w:val="0"/>
                <w:caps w:val="0"/>
                <w:color w:val="auto"/>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4、油污水舱/柜容量</w:t>
            </w:r>
            <w:r>
              <w:rPr>
                <w:rFonts w:hint="eastAsia" w:asciiTheme="minorEastAsia" w:hAnsiTheme="minorEastAsia" w:eastAsiaTheme="minorEastAsia" w:cstheme="minorEastAsia"/>
                <w:i w:val="0"/>
                <w:caps w:val="0"/>
                <w:color w:val="auto"/>
                <w:spacing w:val="0"/>
                <w:sz w:val="24"/>
                <w:szCs w:val="24"/>
                <w:u w:val="single"/>
                <w:bdr w:val="none" w:color="auto" w:sz="0" w:space="0"/>
              </w:rPr>
              <w:t>                                 </w:t>
            </w:r>
            <w:r>
              <w:rPr>
                <w:rFonts w:hint="eastAsia" w:asciiTheme="minorEastAsia" w:hAnsiTheme="minorEastAsia" w:eastAsiaTheme="minorEastAsia" w:cstheme="minorEastAsia"/>
                <w:i w:val="0"/>
                <w:caps w:val="0"/>
                <w:color w:val="auto"/>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5、油污水舱/柜存量</w:t>
            </w:r>
            <w:r>
              <w:rPr>
                <w:rFonts w:hint="eastAsia" w:asciiTheme="minorEastAsia" w:hAnsiTheme="minorEastAsia" w:eastAsiaTheme="minorEastAsia" w:cstheme="minorEastAsia"/>
                <w:i w:val="0"/>
                <w:caps w:val="0"/>
                <w:color w:val="auto"/>
                <w:spacing w:val="0"/>
                <w:sz w:val="24"/>
                <w:szCs w:val="24"/>
                <w:u w:val="single"/>
                <w:bdr w:val="none" w:color="auto" w:sz="0" w:space="0"/>
              </w:rPr>
              <w:t>                                 </w:t>
            </w:r>
            <w:r>
              <w:rPr>
                <w:rFonts w:hint="eastAsia" w:asciiTheme="minorEastAsia" w:hAnsiTheme="minorEastAsia" w:eastAsiaTheme="minorEastAsia" w:cstheme="minorEastAsia"/>
                <w:i w:val="0"/>
                <w:caps w:val="0"/>
                <w:color w:val="auto"/>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6、相关管系内有无污油水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1" w:hRule="atLeast"/>
        </w:trPr>
        <w:tc>
          <w:tcPr>
            <w:tcW w:w="7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况</w:t>
            </w:r>
          </w:p>
        </w:tc>
        <w:tc>
          <w:tcPr>
            <w:tcW w:w="7810" w:type="dxa"/>
            <w:gridSpan w:val="6"/>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1、船方是否提出铅封申请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2、船方是否做好铅封准备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3、铅封阀门名称</w:t>
            </w:r>
            <w:r>
              <w:rPr>
                <w:rFonts w:hint="eastAsia" w:asciiTheme="minorEastAsia" w:hAnsiTheme="minorEastAsia" w:eastAsiaTheme="minorEastAsia" w:cstheme="minorEastAsia"/>
                <w:i w:val="0"/>
                <w:caps w:val="0"/>
                <w:color w:val="auto"/>
                <w:spacing w:val="0"/>
                <w:sz w:val="24"/>
                <w:szCs w:val="24"/>
                <w:u w:val="single"/>
                <w:bdr w:val="none" w:color="auto" w:sz="0" w:space="0"/>
              </w:rPr>
              <w:t>                                    </w:t>
            </w:r>
            <w:r>
              <w:rPr>
                <w:rFonts w:hint="eastAsia" w:asciiTheme="minorEastAsia" w:hAnsiTheme="minorEastAsia" w:eastAsiaTheme="minorEastAsia" w:cstheme="minorEastAsia"/>
                <w:i w:val="0"/>
                <w:caps w:val="0"/>
                <w:color w:val="auto"/>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4、铅封阀门是否关闭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5、铅封装置是否紧固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6、船方是否明确了注意事项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明</w:t>
            </w:r>
          </w:p>
        </w:tc>
        <w:tc>
          <w:tcPr>
            <w:tcW w:w="7810" w:type="dxa"/>
            <w:gridSpan w:val="6"/>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（启封原因）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6" w:hRule="atLeast"/>
        </w:trPr>
        <w:tc>
          <w:tcPr>
            <w:tcW w:w="7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字</w:t>
            </w:r>
          </w:p>
        </w:tc>
        <w:tc>
          <w:tcPr>
            <w:tcW w:w="3704"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铅封人员签字</w:t>
            </w:r>
            <w:r>
              <w:rPr>
                <w:rFonts w:hint="eastAsia" w:asciiTheme="minorEastAsia" w:hAnsiTheme="minorEastAsia" w:eastAsiaTheme="minorEastAsia" w:cstheme="minorEastAsia"/>
                <w:i w:val="0"/>
                <w:caps w:val="0"/>
                <w:color w:val="auto"/>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铅封钳编号</w:t>
            </w:r>
            <w:r>
              <w:rPr>
                <w:rFonts w:hint="eastAsia" w:asciiTheme="minorEastAsia" w:hAnsiTheme="minorEastAsia" w:eastAsiaTheme="minorEastAsia" w:cstheme="minorEastAsia"/>
                <w:i w:val="0"/>
                <w:caps w:val="0"/>
                <w:color w:val="auto"/>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铅封日期</w:t>
            </w:r>
            <w:r>
              <w:rPr>
                <w:rFonts w:hint="eastAsia" w:asciiTheme="minorEastAsia" w:hAnsiTheme="minorEastAsia" w:eastAsiaTheme="minorEastAsia" w:cstheme="minorEastAsia"/>
                <w:i w:val="0"/>
                <w:caps w:val="0"/>
                <w:color w:val="auto"/>
                <w:spacing w:val="0"/>
                <w:sz w:val="24"/>
                <w:szCs w:val="24"/>
                <w:u w:val="single"/>
                <w:bdr w:val="none" w:color="auto" w:sz="0" w:space="0"/>
              </w:rPr>
              <w:t>                 </w:t>
            </w:r>
          </w:p>
        </w:tc>
        <w:tc>
          <w:tcPr>
            <w:tcW w:w="4106"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轮机长签字</w:t>
            </w:r>
            <w:r>
              <w:rPr>
                <w:rFonts w:hint="eastAsia" w:asciiTheme="minorEastAsia" w:hAnsiTheme="minorEastAsia" w:eastAsiaTheme="minorEastAsia" w:cstheme="minorEastAsia"/>
                <w:i w:val="0"/>
                <w:caps w:val="0"/>
                <w:color w:val="auto"/>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船方公章</w:t>
            </w:r>
            <w:r>
              <w:rPr>
                <w:rFonts w:hint="eastAsia" w:asciiTheme="minorEastAsia" w:hAnsiTheme="minorEastAsia" w:eastAsiaTheme="minorEastAsia" w:cstheme="minorEastAsia"/>
                <w:i w:val="0"/>
                <w:caps w:val="0"/>
                <w:color w:val="auto"/>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rPr>
              <w:t>铅封日期</w:t>
            </w:r>
            <w:r>
              <w:rPr>
                <w:rFonts w:hint="eastAsia" w:asciiTheme="minorEastAsia" w:hAnsiTheme="minorEastAsia" w:eastAsiaTheme="minorEastAsia" w:cstheme="minorEastAsia"/>
                <w:i w:val="0"/>
                <w:caps w:val="0"/>
                <w:color w:val="auto"/>
                <w:spacing w:val="0"/>
                <w:sz w:val="24"/>
                <w:szCs w:val="24"/>
                <w:u w:val="single"/>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备注：□—视具体情况填写，适用画×，不适用画－。（一式两份）</w:t>
      </w:r>
    </w:p>
    <w:p>
      <w:pPr>
        <w:rPr>
          <w:rFonts w:hint="eastAsia" w:asciiTheme="minorEastAsia" w:hAnsiTheme="minorEastAsia" w:eastAsiaTheme="minorEastAsia" w:cstheme="minorEastAsia"/>
          <w:i w:val="0"/>
          <w:caps w:val="0"/>
          <w:color w:val="auto"/>
          <w:spacing w:val="0"/>
          <w:sz w:val="24"/>
          <w:szCs w:val="24"/>
          <w:shd w:val="clear"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F0FCF"/>
    <w:rsid w:val="62AF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2020-02-21T09:41:00Z</dcterms:created>
  <dc:creator>断桥残雪</dc:creator>
  <cp:lastModifiedBy>断桥残雪</cp:lastModifiedBy>
  <dcterms:modified xsi:type="dcterms:W3CDTF">2020-02-21T09:51:46Z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