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Theme="majorEastAsia" w:hAnsiTheme="majorEastAsia" w:eastAsiaTheme="majorEastAsia" w:cstheme="majorEastAsia"/>
          <w:b/>
          <w:bCs w:val="0"/>
          <w:i w:val="0"/>
          <w:caps w:val="0"/>
          <w:color w:val="333333"/>
          <w:spacing w:val="0"/>
          <w:sz w:val="28"/>
          <w:szCs w:val="28"/>
          <w:shd w:val="clear" w:fill="FFFFFF"/>
        </w:rPr>
      </w:pPr>
      <w:r>
        <w:rPr>
          <w:rStyle w:val="4"/>
          <w:rFonts w:hint="eastAsia" w:asciiTheme="majorEastAsia" w:hAnsiTheme="majorEastAsia" w:eastAsiaTheme="majorEastAsia" w:cstheme="majorEastAsia"/>
          <w:b/>
          <w:bCs w:val="0"/>
          <w:i w:val="0"/>
          <w:caps w:val="0"/>
          <w:color w:val="333333"/>
          <w:spacing w:val="0"/>
          <w:sz w:val="28"/>
          <w:szCs w:val="28"/>
          <w:shd w:val="clear" w:fill="FFFFFF"/>
        </w:rPr>
        <w:t>中华人民共和国国际海运条例实施细则</w:t>
      </w:r>
    </w:p>
    <w:p>
      <w:pPr>
        <w:jc w:val="left"/>
        <w:rPr>
          <w:rStyle w:val="4"/>
          <w:rFonts w:hint="eastAsia" w:asciiTheme="minorEastAsia" w:hAnsiTheme="minorEastAsia" w:eastAsiaTheme="minorEastAsia" w:cstheme="minorEastAsia"/>
          <w:b/>
          <w:bCs w:val="0"/>
          <w:i w:val="0"/>
          <w:caps w:val="0"/>
          <w:color w:val="333333"/>
          <w:spacing w:val="0"/>
          <w:sz w:val="24"/>
          <w:szCs w:val="24"/>
          <w:shd w:val="clear" w:fill="FFFFFF"/>
          <w:lang w:eastAsia="zh-CN"/>
        </w:rPr>
      </w:pPr>
      <w:r>
        <w:rPr>
          <w:rStyle w:val="4"/>
          <w:rFonts w:hint="eastAsia" w:asciiTheme="minorEastAsia" w:hAnsiTheme="minorEastAsia" w:eastAsiaTheme="minorEastAsia" w:cstheme="minorEastAsia"/>
          <w:b/>
          <w:bCs w:val="0"/>
          <w:i w:val="0"/>
          <w:caps w:val="0"/>
          <w:color w:val="333333"/>
          <w:spacing w:val="0"/>
          <w:sz w:val="24"/>
          <w:szCs w:val="24"/>
          <w:shd w:val="clear" w:fill="FFFFFF"/>
          <w:lang w:eastAsia="zh-CN"/>
        </w:rPr>
        <w:t>题注：</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2003年1月20日交通部发布</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根据2013年8月29日《交通运输部关于修改〈中华人民共和国国际海运条例实施细则〉的决定》第一次修正</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根据2017年3月7日《交通运输部关于修改〈中华人民共和国国际海运条例实施细则〉的决定》第二次修正</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根据2019年6月21日《交通运输部关于修改〈中华人民共和国国际海运条例实施细则〉的决定》第三次修正</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根据2019年11月28日《交通运输部关于修改〈中华人民共和国国际海运条例实施细则〉的决定》第四次修正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第一条　根据《中华人民共和国国际海运条例》（以下简称《海运条例》）的规定，制定本实施细则。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第二条　交通运输部和有关地方人民政府交通运输主管部门应当依照《海运条例》和本实施细则的规定，按照公平、高效、便利的原则，管理国际海上运输经营活动和与国际海上运输相关的辅助性经营活动，鼓励公平竞争，禁止不正当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第三条　《海运条例》和本实施细则中下列用语的含义是：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国际船舶运输业务，是指国际船舶运输经营者使用自有或者经营的船舶、舱位，提供国际海上货物运输和旅客运输服务以及为完成这些服务而围绕其船舶、所载旅客或者货物开展的相关活动，包括签订有关协议、接受订舱、商定和收取客票票款和运费、签发客票和提单及其他相关运输单证、安排旅客上下船舶、安排货物装卸、安排保管、进行货物交接、安排中转运输和船舶进出港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国际船舶运输经营者，包括中国国际船舶运输经营者和外国国际船舶运输经营者。其中，中国国际船舶运输经营者是指依据《海运条例》和本实施细则规定取得《国际船舶运输经营许可证》经营国际船舶运输业务的中国企业法人；外国国际船舶运输经营者是指依据外国法律设立经营进出中国港口国际船舶运输业务的外国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（三）国际班轮运输业务，是指以自有或者经营的船舶，或者以《海运条例》第十一条第三款规定的方式，在固定的港口之间提供的定期国际海上货物或旅客运输。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（四）无船承运业务，是指《海运条例》第七条第二款规定的业务，包括为完成该项业务围绕其所承运的货物开展的下列活动：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（１）以承运人身份与托运人订立国际货物运输合同；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（２）以承运人身份接收货物、交付货物；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（３）签发提单或者其他运输单证；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（４）收取运费及其他服务报酬；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（５）向国际船舶运输经营者或者其他运输方式经营者为所承运的货物订舱和办理托运；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（６）支付运费或者其他运输费用；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（７）集装箱拆箱、集拼箱业务；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（８）其他相关的业务。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无船承运业务经营者，包括中国无船承运业务经营者和外国无船承运业务经营者。其中中国无船承运业务经营者是指依照《海运条例》和本实施细则规定取得无船承运业务经营资格的中国企业法人；外国无船承运业务经营者是指依照外国法律设立并依照《海运条例》和本实施细则的相关规定取得经营进出中国港口货物无船承运业务资格的外国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（六）国际船舶代理经营者，是指依照中国法律设立从事《海运条例》第二十三条规定业务的中国企业法人。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（七）国际船舶管理经营者，是指依照中国法律设立从事《海运条例》第二十四条规定业务的中国企业法人。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（八）外商常驻代表机构，是指外国企业或者其他经济组织在中国境内依法设立的，为其派出机构开展宣传、推介、咨询和联络活动的非营业性机构。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九）企业商业登记文件，是指企业登记机关或者企业所在国有关当局签发的企业营业执照或者企业设立的证明文件。境外企业商业登记文件为复印件的，须有企业登记机关在复印件上的确认或者证明复印件与原件一致的公证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（十）班轮公会协议，是指符合联合国《1974年班轮公会行动守则公约》定义的，由班轮公会成员之间以及班轮公会之间订立的各类协议。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一）运营协议，是指两个或者两个以上国际班轮运输经营者为稳定或者控制运价订立的关于在一条或者数条航线上增加或者减少船舶运力协议，以及其他协调国际班轮运输经营者共同行动的协议，包括具有上述性质内容的会议纪要；两个或者两个以上国际班轮运输经营者为提高运营效率订立的关于共同使用船舶、共同使用港口设施及其他合作经营协议和各类联盟协议、联营体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（十二）运价协议，是指两个或者两个以上国际班轮运输经营者之间订立的关于收费项目及其费率、运价或者附加费等内容的协议，包括具有上述内容的会议纪要。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（十三）公布运价，是指国际班轮运输经营者和无船承运业务经营者运价本上载明的运价。运价本由运价、运价规则、承运人和托运人应当遵守的规定等内容组成。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（十四）协议运价，指国际班轮运输经营者与货主、无船承运业务经营者约定的运价，包括运价及其相关要素。协议运价以合同或者协议形式书面订立。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（十五）从业资历证明文件，是指被证明人具有3年以上从事国际海上运输或者国际海上运输辅助性经营活动经历的个人履历表。申请人须承诺对所提供从业资历的真实有效性负责。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国际海上运输及其辅助性业务的经营者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第四条　中国企业法人申请经营国际船舶运输业务，应当符合《海运条例》第五条规定的条件，考虑交通运输部公布的国际海运市场竞争状况和国家关于国际海上运输业发展的政策。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交通运输部应当在其政府网站和其他适当媒体上及时公布国际海运市场竞争状况和国家关于国际海上运输业发展的政策。上述状况和政策未经公布，不得作为拒绝申请的理由。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第五条　中国企业法人申请经营国际船舶运输业务，申请人应当向交通运输部提出申请，报送相关材料或信息，并应同时将申请材料或信息抄报企业所在地的省、自治区、直辖市人民政府交通运输主管部门。申请材料或信息应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（二）申请人的企业统一社会信用代码、公司章程的复印件；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（三）公司与船舶名称及船舶识别号；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（四）提单、客票或者多式联运单证样本；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（五）符合交通运输部规定的高级业务管理人员的从业资格证明。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有关省、自治区、直辖市人民政府交通运输主管部门自收到上述抄报材料或信息后，应当就有关材料或信息进行审核，提出意见，并应当自收到有关材料或信息之日起10个工作日内将有关意见报送交通运输部。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收到申请人的申请材料或信息后，应当在申请材料或信息完整齐备之日起30个工作日内按照《海运条例》第五条和第六条的规定进行审核，作出许可或者不许可的决定。决定许可的，向申请人颁发《国际船舶运输经营许可证》；决定不许可的，应当书面通知申请人并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取得《国际船舶运输经营许可证》的企业在经营国际船舶运输业务期间，应当确保本条所列有关材料持续合法有效。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第六条　中国国际船舶运输经营者在中国境内设立分支机构的，适用本实施细则第五条规定的程序。申请材料或信息应当包括：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（二）母公司的企业统一社会信用代码、公司章程的复印件；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（三）母公司的《国际船舶运输经营许可证》复印件；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（四）母公司对该分支机构经营范围的确认文件；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（五）符合交通运输部要求的高级业务管理人员的从业资格证明。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中国国际船舶运输经营者的分支机构可为其母公司所有或者经营的船舶提供办理船舶进出港口手续、安排港口作业、接受订舱、签发客票或者提单、收取运费等服务。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第七条　经营国际船舶代理业务的企业，应当在开业后30日内向交通运输部报备企业名称、注册地、联系方式、企业统一社会信用代码等信息。交通运输部定期在其政府网站或者授权发布的网站发布国际船舶代理业务经营者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从事国际船舶代理业务的企业变更企业信息或者不再从事国际船舶代理经营活动的，应当在信息变更或者停止经营活动的15日内，向交通运输部备案。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第八条　国际船舶运输经营者申请经营进出中国港口国际班轮运输业务，应当向交通运输部提出申请，并报送《海运条例》第十二条规定的材料。交通运输部应当按照《海运条例》第十二条的规定进行审核。予以登记的，颁发《国际班轮运输经营资格登记证》。申请材料不真实、不齐备的，不予登记，应当书面通知申请人并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国际船舶运输经营者依法取得经营进出中国港口国际班轮运输业务资格后，交通运输部在其政府网站或者授权发布的网站公布国际班轮运输经营者名称及其提单格式样本。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取得《国际班轮运输经营资格登记证》的企业在经营国际班轮运输业务期间，应当确保有关证书、证明持续合法有效。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第九条　申请办理无船承运业务经营者提单登记的，应当向交通运输部提出提单登记申请，报送相关材料，并应当同时将申请材料抄报企业所在地或者外国无船承运业务经营者指定的联络机构所在地的省、自治区、直辖市人民政府交通运输主管部门。申请材料应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（二）企业商业登记文件复印件；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（三）提单格式样本；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（四）保证金已交存的银行凭证复印件、保证金保函或者保证金责任保险原件。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申请人为外国无船承运业务经营者的，还应当提交本实施细则第二十二条规定的其指定的联络机构的有关材料。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有关省、自治区、直辖市人民政府交通运输主管部门自收到上述抄报材料后，应当就有关材料进行审核，提出意见，并应当自收到抄报的申请材料之日起7个工作日内将有关意见报送交通运输部。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收到申请人的材料后，应当在申请材料完整齐备之日起15个工作日内按照《海运条例》第七条和第八条的规定进行审核。审核合格的，予以提单登记，并颁发《无船承运业务经营资格登记证》；不合格的，应当书面通知当事人并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以保证金保函、保证金责任保险取得《无船承运业务经营资格登记证》的企业，资格登记证的有效期限与保函或者责任保险有效期一致。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第十条　外国无船承运业务经营者按照外国法律已取得经营资格且有合法财务责任保证的，在按照《海运条例》和本实施细则申请从事进出中国港口无船承运业务时，可以不向中国境内的银行交存保证金。但为了保证外国无船承运业务经营者清偿因其不履行承运人义务或者履行义务不当所产生的债务以及支付罚款，满足《海运条例》第八条第三款的规定，该外国无船承运业务经营者的政府主管部门与中国政府交通运输主管部门应就财务责任保证实现方式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第十一条　没有在中国港口开展国际班轮运输业务，但在中国境内承揽货物、签发提单或者其他运输单证、收取运费，通过租赁国际班轮运输经营者船舶舱位提供进出中国港口国际货物运输服务；或者利用国际班轮运输经营者提供的支线服务，在中国港口承揽货物后运抵外国港口中转的，应当按照本实施细则的有关规定，取得无船承运业务经营资格。但有《海运条例》第十一条第三款规定情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第十二条　中国的无船承运业务经营者在中国境内的分支机构，应当按照《海运条例》第八条第二款的规定交纳保证金，或者取得保证金保函、保证金责任保险，并按照本实施细则第九条的规定进行登记，取得《无船承运业务经营资格登记证》。申请登记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（二）母公司及分支机构的企业商业登记文件复印件；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（三）母公司的《无船承运业务经营资格登记证》复印件；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（四）母公司确认该分支机构经营范围的确认文件；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（五）保证金已交存的银行凭证复印件、保证金保函或者保证金责任保险原件。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第十三条　无船承运业务经营者申请提单登记时，提单抬头名称应当与申请人名称相一致。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提单抬头名称与申请人名称不一致的，申请人应当提供说明该提单确实为申请人制作、使用的相关材料，并附送申请人对申请登记提单承担承运人责任的书面声明。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第十四条　无船承运业务经营者使用两种或者两种以上提单的，各种提单均应登记。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国际班轮运输经营者和无船承运业务经营者的登记提单发生变更的，应当于新的提单使用之日起15日前将新的提单样本格式向交通运输部备案。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第十五条　无船承运业务经营申请者交纳保证金、取得保证金保函或者保证金责任保险并办理提单登记，依法取得无船承运业务经营资格后，交通运输部在其政府网站或者授权发布的网站公布无船承运业务经营者名称及其提单格式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第十六条　无船承运业务经营者应当依法在交通运输部指定的商业银行开设的无船承运业务经营者专门账户上交存保证金，保证金利息按照中国人民银行公布的相应存款利率计息。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第十七条　无船承运业务经营者交存的保证金，受国家法律保护。除下列情形外，保证金不得动用：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（一）因无船承运业务经营者不履行承运人义务或者履行义务不当，根据司法机关已生效的判决或者司法机关裁定执行的仲裁机构裁决应当承担赔偿责任的，而无船承运业务经营者拒不执行的；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（二）被交通运输主管部门依法处以罚款的，而无船承运业务经营者拒不执行的。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有前款（一）、（二）项情形需要从保证金中划拨的，应当依法进行。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无船承运业务经营者的保证金不符合《海运条例》规定数额的，交通运输部应当书面通知其补足。无船承运业务经营者自收到交通运输部书面通知之日起30日内未补足的，交通运输部应当按照《海运条例》第十条的规定取消其经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第十八条　无船承运业务经营者被交通运输部依法取消经营资格、申请终止经营或者因其他原因终止经营的，可向交通运输部申请退还保证金。交通运输部应将该申请事项在其政府网站上公示30日。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公示期内，有关当事人认为无船承运业务经营者有本实施细则第十七条第一款第（一）项情形需要对其保证金采取保全措施的，应当在上述期限内取得司法机关的财产保全裁定。自保证金被保全之日起，交通运输部依照《海运条例》对保证金账户的监督程序结束。有关纠纷由当事双方通过司法程序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公示期届满未有前款规定情形的，交通运输部应当通知保证金开户银行退还无船承运业务经营者保证金及其利息，并收缴该无船承运业务经营者的《无船承运业务经营资格登记证》。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第十九条　中国国际船舶运输经营者、中国无船承运业务经营者有下列变更情形之一的，应当向原资格许可、登记机关备案：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（一）变更企业名称；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（二）企业迁移；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（三）变更出资人；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（四）歇业、终止经营；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（五）中国籍船舶终止国际船舶运输业务。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变更企业名称的，由原资格许可、登记机关换发相关经营许可证或者经营资格登记证；企业终止经营的，应当将有关许可、登记证书交回原许可、登记机关。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国际海上运输及其辅助性业务经营活动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第二十条　国际班轮运输经营者新开或者停开国际班轮运输航线，或者变更国际班轮运输船舶、班期的，应当按照《海运条例》第十四条的规定在交通运输部指定媒体上公告，并按规定报备。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第二十一条　中国国际船舶运输经营者增加运营船舶，包括以光船租赁方式租用船舶增加运营船舶的，应当于投入运营前15日向交通运输部备案，取得备案证明文件。备案材料应当载明公司名称、注册地、船名、船舶国籍、船舶类型、船舶吨位、拟运营航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交通运输部收到备案材料后，应当在3个工作日内出具备案证明文件。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第二十二条　在中国港口开展国际班轮运输业务的外国国际船舶运输经营者，以及在中国委托代理人提供进出中国港口国际货物运输服务的外国无船承运业务经营者，应当在中国境内委托一个联络机构，负责代表该外国企业与中国政府有关部门就《海运条例》和本实施细则规定的有关管理及法律事宜进行联络。联络机构可以是该外国企业在中国境内设立的外商投资企业或者常驻代表机构，也可以是其他中国企业法人或者在中国境内有固定住所的其他经济组织。委托的联络机构应当向交通运输部备案，并提交下列文件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（一）联络机构说明书，载明联络机构名称、住所、联系方式及联系人；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（二）委托书副本或者复印件；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（三）委托人与联络机构的协议副本；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（四）联络机构的企业统一社会信用代码。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联络机构为该外国企业在中国境内的外商投资企业或者常驻代表机构的，不须提供本条第一款第（二）项、第（三）项文件。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联络机构或者联络机构说明书所载明的事项发生改变的，应当自发生改变之日起15日内向交通运输部备案。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第二十三条　任何单位和个人不得擅自使用国际班轮运输经营者和无船承运业务经营者已经登记的提单。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第二十四条　无船承运业务经营者需要委托代理人签发提单或者相关单证的，应当委托依法取得经营资格或者办理备案的国际船舶运输经营者、无船承运业务经营者和国际海运辅助业务经营者代理上述事项。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前款规定的经营者不得接受未办理提单登记并交存保证金或者取得保证金保函、保证金责任保险的无船承运业务经营者的委托，为其代理签发提单。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第二十五条　国际班轮运输经营者与货主和无船承运业务经营者协议运价的，应当采用书面形式。协议运价号应当在提单或者相关单证上显示。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第二十六条　国际船舶运输经营者不得接受未办理提单登记并交纳保证金或者取得保证金保函、保证金责任保险的无船承运业务经营者提供的货物或者集装箱。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第二十七条　国际班轮运输经营者和无船承运业务经营者应当将其在中国境内的船舶代理人、签发提单代理人在交通运输部指定的媒体上公布。公布事项包括代理人名称、注册地、住所、联系方式。代理人发生变动的，应当于有关代理协议生效前７日内公布上述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国际班轮运输经营者、无船承运业务经营者应当及时将公布代理事项的媒体名称向交通运输部备案。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第二十八条　国际船舶运输经营者之间订立的涉及中国港口的班轮公会协议、运营协议、运价协议等，应当自协议订立之日起15日内，按下列规定向交通运输部备案：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（一）班轮公会协议，由班轮公会代表其所有经营进出中国港口海上运输的成员备案。班轮公会备案时，应当同时提供该公会的成员名单。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（二）国际船舶运输经营者之间订立的运营协议、运价协议，由参加订立协议的国际船舶运输经营者分别备案。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第二十九条　国际船舶管理经营者应当根据合同的约定和国家有关规定，履行有关船舶安全和防止污染的义务。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第三十条　国际海运业及辅助业经营者，应当按照有关统计报表制度的要求，真实、准确、完整、及时地报送相关统计信息。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第三十一条　国际船舶代理经营者、国际船舶管理经营者，不得有下列行为：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（一）以非正常、合理的收费水平提供服务，妨碍公平竞争；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（二）在会计账簿之外暗中给予客户回扣，以承揽业务；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（三）滥用优势地位，限制交易当事人自主选择国际海运辅助业务经营者，或者以其相关产业的垄断地位诱导交易当事人，排斥同业竞争；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（四）其他不正当竞争行为。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第三十二条　外国国际船舶运输经营者以及外国国际海运辅助企业的常驻代表机构不得从事经营活动，包括不得：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（一）代表其境外母公司接受订舱，签发母公司提单或者相关单证；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（二）为母公司办理结算或者收取运费及其他费用；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（三）开具境外母公司的票据；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（四）以托运人身份向国际班轮运输经营者托运货物；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（五）以外商常驻代表机构名义与客户签订业务合同。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第三十三条　国际集装箱班轮运输经营者在报备运价时，应当报备中国港口至外国基本港的出口集装箱的海运运价和附加费。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第三十四条　班轮公会、运价协议组织在中国开展业务应当遵守我国缔结或者参加的国际公约和我国的法律法规、规章及相关规定，不得损害国际海运市场公平竞争秩序。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班轮公会和运价协议组织应当与中国境内的托运人组织建立有效的协商机制。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第三十五条　交通运输部和有关地方人民政府交通运输主管部门依照有关法律、法规和本规定，对国际海运市场实施监督检查和调查。国际海上运输业务经营者、国际海运辅助业务经营者应当配合监督检查和调查，如实提供有关凭证、文件及其他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第三十六条　国际船舶运输经营者和无船承运业务经营者应当执行生效的备案运价。国务院交通运输主管部门根据利害关系人的请求或自行决定，组织或授权地方交通运输主管部门开展运价备案执行情况检查。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第三十七条　利害关系人认为国际海上运输业务经营者、国际海运辅助业务经营者有《海运条例》第二十八条和本实施细则第三十一条规定情形的，可依照《海运条例》第二十八条的规定请求交通运输部实施调查。请求调查时，应当提出书面调查申请，并阐述理由，提供必要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交通运输部对调查申请应当进行评估，在自收到调查申请之日起60个工作日内作出实施调查或者不予调查的决定：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（一）交通运输部认为调查申请理由不充分或者证据不足的，决定不予调查并通知调查申请人。申请人可补充理由或者证据后再次提出调查申请。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（二）交通运输部根据评估结论认为应当实施调查或者按照《海运条例》第二十八条规定自行决定调查的，应当将有关材料和评估结论通报国务院市场监督管理部门。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第三十八条　调查的实施由交通运输部会同国务院市场监督管理部门（以下简称调查机关）共同成立的调查组进行。</w:t>
      </w:r>
      <w:bookmarkStart w:id="0" w:name="_GoBack"/>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调查机关应当将调查组组成人员、调查事由、调查期限等情况通知被调查人。被调查人应当在调查通知送达后30日内就调查事项作出答辩。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被调查人认为调查组成员同调查申请人、被调查人或者调查事项有利害关系的，有权提出回避请求。调查机关认为回避请求成立的，应当对调查组成员进行调整。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第三十九条　被调查人接受调查时，应当根据调查组的要求提供相关数据、资料及文件等。属于商业秘密的，应当向调查组提出。调查组应当以书面形式记录备查。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调查机关和调查人员对被调查人的商业秘密应当予以保密。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被调查人发现调查人员泄露其商业秘密并有充分证据的，有权向调查机关投诉。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第四十条　调查机关对被调查人“低于正常、合理水平运价”的认定，应当考虑下列因素：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（一）同一行业内多数经营者的运价水平以及与被调查人具有同等规模经营者的运价水平；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（二）被调查人实施该运价水平的理由，包括成本构成、管理水平和盈亏状况等；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（三）是否针对特定的竞争对手并以排挤竞争对手为目的。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第四十一条　调查机关对“损害公平竞争”或者“损害交易对方”的认定，应当考虑下列因素：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（一）对旅客或者托运人自由选择承运人造成妨碍；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（二）影响旅客或者货物的正常出行或者出运；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（三）以账外暗中回扣承揽货物，扭曲市场竞争规则。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第四十二条　调查机关作出调查结论前，可举行专家咨询会议，对“损害公平竞争”或者“损害交易对方”的程度进行评估。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聘请的咨询专家不得与调查申请人、被调查人具有利害关系。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第四十三条　调查结束时，调查机关应当作出调查结论，并书面通知调查申请人和被调查人：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（一）基本事实不成立的，调查机关应当决定终止调查；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（二）基本事实存在但对市场公平竞争不造成实质损害的，调查机关可决定不对被调查人采取禁止性、限制性措施；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（三）基本事实清楚且对市场公平竞争造成实质损害的，调查机关应当根据《海运条例》的规定，对被调查人采取限制性、禁止性措施。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第四十四条　调查机关在作出采取禁止性、限制性措施的决定前，应当告知当事人有举行听证的权利；当事人要求举行听证的，应当在自调查机关通知送达之日起10日内，向调查机关书面提出；逾期未提出听证请求的，视为自动放弃请求听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第四十五条　就本实施细则第三十一条所列情形实施调查的，调查组成员中应当包括对被调查人的业务实施管理的有关交通运输主管部门的人员。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对有本实施细则第三十一条第（三）项所列违法行为并给交易当事人或者同业竞争者造成实质损害的，调查机关可采取限制其在一定时期内扩大业务量的限制性措施。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第四十六条　违反《海运条例》和本实施细则的规定应当予以处罚的，交通运输部或授权的省、自治区、直辖市人民政府交通运输主管部门应当按照《海运条例》第六章和本章的规定予以处罚。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交通运输部或者有关省、自治区、直辖市人民政府交通运输主管部门应当将国际海上运输及其辅助性业务经营者违反《海运条例》和本实施细则有关规定的违法行为记入信用记录，并依照有关法律、行政法规的规定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第四十七条　外商常驻代表机构有本实施细则第三十二条规定情形的，交通运输部或者有关省、自治区、直辖市人民政府交通运输主管部门可将有关情况通报有关市场监督管理部门，由市场监督管理部门按照《海运条例》第四十四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第四十八条　班轮公会协议、运营协议和运价协议未按规定向交通运输部备案的，由交通运输部依照《海运条例》第四十条的规定，对本实施细则第二十八条规定的备案人实施处罚。班轮公会不按规定报备的，可对其公会成员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第四十九条　调查人员违反规定，泄露被调查人保密信息的，依法给予行政处分；造成严重后果，触犯刑律的，依法追究刑事责任。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center"/>
        <w:rPr>
          <w:rFonts w:hint="eastAsia" w:asciiTheme="minorEastAsia" w:hAnsiTheme="minorEastAsia" w:eastAsiaTheme="minorEastAsia" w:cstheme="minorEastAsia"/>
          <w:i w:val="0"/>
          <w:caps w:val="0"/>
          <w:color w:val="333333"/>
          <w:spacing w:val="0"/>
          <w:sz w:val="24"/>
          <w:szCs w:val="24"/>
        </w:rPr>
      </w:pPr>
      <w:r>
        <w:rPr>
          <w:rStyle w:val="4"/>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第五十条　《海运条例》和本实施细则规定的许可、登记事项，申请人可委托代理人办理。代理人办理委托事项的，应当提供授权委托书。外国申请人或者投资者提交的公证文书，应当由申请人或者投资者所在国公证机关或者执业律师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本实施细则所要求的各类文字资料应当用中文书写，如使用其他文字的，应随附中文译文。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第五十一条　对《海运条例》和本实施细则规定的备案事项的具体要求、报备方式和方法应当按照交通运输部的规定办理。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第五十二条　香港特别行政区、澳门特别行政区和台湾地区的投资者在内地投资从事国际海上运输和与国际海上运输相关的辅助性业务，比照适用《海运条例》的有关规定。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第五十三条　《海运条例》第十五条规定的公布运价和协议运价备案的具体办法，由交通运输部另行规定。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0" w:lineRule="atLeast"/>
        <w:ind w:left="0" w:right="0" w:firstLine="0"/>
        <w:jc w:val="both"/>
        <w:rPr>
          <w:rFonts w:hint="eastAsia" w:asciiTheme="minorEastAsia" w:hAnsiTheme="minorEastAsia" w:eastAsiaTheme="minorEastAsia" w:cstheme="minorEastAsia"/>
          <w:i w:val="0"/>
          <w:caps w:val="0"/>
          <w:color w:val="333333"/>
          <w:spacing w:val="0"/>
          <w:sz w:val="24"/>
          <w:szCs w:val="24"/>
          <w:shd w:val="clear" w:fill="FFFFFF"/>
          <w:lang w:eastAsia="zh-CN"/>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第五十四条　本实施细则自2003年3月1日起施行。交通部1985年4月11日发布的《交通部对从事国际海运船舶公司的暂行管理办法》、1990年3月2日发布的《国际船舶代理管理规定》、1990年6月20日发布的《国际班轮运输管理规定》、1992年6月9日发布的《中华人民共和国海上国际集装箱运输管理规定实施细则》、1997年10月17日发布的《外国水路运输企业常驻代表机构管理办法》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004D4"/>
    <w:rsid w:val="375D6BF7"/>
    <w:rsid w:val="4C200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2020-02-20T09:29:00Z</dcterms:created>
  <dc:creator>断桥残雪</dc:creator>
  <cp:lastModifiedBy>断桥残雪</cp:lastModifiedBy>
  <dcterms:modified xsi:type="dcterms:W3CDTF">2020-02-20T09:35:16Z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