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中华人民共和国航道法</w:t>
      </w:r>
    </w:p>
    <w:p>
      <w:pPr>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《中华人民共和国航道法》已由中华人民共和国第十二届全国人民代表大会常务委员会第十二次会议于2014年12月28日通过，现予公布，自2015年3月1日起施行。</w:t>
      </w:r>
    </w:p>
    <w:p>
      <w:pPr>
        <w:jc w:val="left"/>
        <w:rPr>
          <w:rFonts w:hint="eastAsia" w:asciiTheme="minorEastAsia" w:hAnsiTheme="minorEastAsia" w:eastAsiaTheme="minorEastAsia" w:cstheme="minorEastAsia"/>
          <w:i w:val="0"/>
          <w:caps w:val="0"/>
          <w:color w:val="333333"/>
          <w:spacing w:val="0"/>
          <w:sz w:val="24"/>
          <w:szCs w:val="24"/>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第二章 航道规划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第三章 航道建设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第四章 航道养护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第五章 航道保护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6148"/>
        </w:tabs>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第七章 附则</w:t>
      </w:r>
      <w:r>
        <w:rPr>
          <w:rStyle w:val="3"/>
          <w:rFonts w:hint="eastAsia" w:asciiTheme="minorEastAsia" w:hAnsiTheme="minorEastAsia" w:cstheme="minorEastAsia"/>
          <w:lang w:eastAsia="zh-CN"/>
        </w:rPr>
        <w:tab/>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24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第一条 为了规范和加强航道的规划、建设、养护、保护，保障航道畅通和通航安全，促进水路运输发展，制定本法。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条本法所称航道，是指中华人民共和国领域内的江河、湖泊等内陆水域中可以供船舶通航的通道，以及内海、领海中经建设、养护可以供船舶通航的通道。航道包括通航建筑物、航道整治建筑物和航标等航道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条规划、建设、养护、保护航道，应当根据经济社会发展和国防建设的需要，遵循综合利用和保护水资源、保护生态环境的原则，服从综合交通运输体系建设和防洪总体安排，统筹兼顾供水、灌溉、发电、渔业等需求，发挥水资源的综合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第四条国务院和有关县级以上地方人民政府应当加强对航道工作的领导，组织、协调、督促有关部门采取措施，保持和改善航道通航条件，保护航道安全，维护航道网络完整和畅通。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国务院和有关县级以上地方人民政府应当根据经济社会发展水平和航道建设、养护的需要，在财政预算中合理安排航道建设和养护资金。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第五条国务院交通运输主管部门主管全国航道管理工作，并按照国务院的规定直接管理跨省、自治区、直辖市的重要干线航道和国际、国境河流航道等重要航道。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县级以上地方人民政府交通运输主管部门按照省、自治区、直辖市人民政府的规定主管所辖航道的管理工作。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国务院交通运输主管部门按照国务院规定设置的负责航道管理的机构和县级以上地方人民政府负责航道管理的部门或者机构（以下统称负责航道管理的部门），承担本法规定的航道管理工作。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第二章 航道规划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第六条 航道规划分为全国航道规划、流域航道规划、区域航道规划和省、自治区、直辖市航道规划。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航道规划应当包括航道的功能定位、规划目标、发展规划技术等级、规划实施步骤以及保障措施等内容。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航道规划应当符合依法制定的流域、区域综合规划，符合水资源规划、防洪规划和海洋功能区划，并与涉及水资源综合利用的相关专业规划以及依法制定的城乡规划、环境保护规划等其他相关规划和军事设施保护区划相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第七条航道应当划分技术等级。航道技术等级包括现状技术等级和发展规划技术等级。航道发展规划技术等级根据相关自然条件以及防洪、供水、水资源保护、生态环境保护要求和航运发展需求等因素评定。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第八条全国航道规划由国务院交通运输主管部门会同国务院发展改革部门、国务院水行政主管部门等部门编制，报国务院批准公布。流域航道规划、区域航道规划由国务院交通运输主管部门编制并公布。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省、自治区、直辖市航道规划由省、自治区、直辖市人民政府交通运输主管部门会同同级发展改革部门、水行政主管部门等部门编制，报省、自治区、直辖市人民政府会同国务院交通运输主管部门批准公布。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编制航道规划应当征求有关部门和有关军事机关的意见，并依法进行环境影响评价。涉及海域、重要渔业水域的，应当有同级海洋主管部门、渔业行政主管部门参加。编制全国航道规划和流域航道规划、区域航道规划应当征求相关省、自治区、直辖市人民政府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流域航道规划、区域航道规划和省、自治区、直辖市航道规划应当符合全国航道规划。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第九条 依法制定并公布的航道规划应当依照执行；航道规划确需修改的，依照规划编制程序办理。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第三章 航道建设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条新建航道以及为改善航道通航条件而进行的航道工程建设，应当遵守法律、行政法规关于建设工程质量管理、安全管理和生态环境保护的规定，符合航道规划，执行有关的国家标准、行业标准和技术规范，依法办理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第十一条航道建设单位应当根据航道建设工程的技术要求，依法通过招标等方式选择具有相应资质的勘察、设计、施工和监理单位进行工程建设，对工程质量和安全进行监督检查，并对工程质量和安全负责。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从事航道工程建设的勘察、设计、施工和监理单位，应当依照法律、行政法规的规定取得相应的资质，并在其资质等级许可的范围内从事航道工程建设活动，依法对勘察、设计、施工、监理的质量和安全负责。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第十二条 有关县级以上人民政府交通运输主管部门应当加强对航道建设工程质量和安全的监督检查，保障航道建设工程的质量和安全。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第十三条 航道建设工程竣工后，应当按照国家有关规定组织竣工验收，经验收合格方可正式投入使用。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航道建设单位应当自航道建设工程竣工验收合格之日起六十日内，将竣工测量图报送负责航道管理的部门。沿海航道的竣工测量图还应当报送海军航海保证部门。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第十四条进行航道工程建设应当维护河势稳定，符合防洪要求，不得危及依法建设的其他工程或者设施的安全。因航道工程建设损坏依法建设的其他工程或者设施的，航道建设单位应当予以修复或者依法赔偿。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第四章 航道养护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第十五条 国务院交通运输主管部门应当制定航道养护技术规范。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负责航道管理的部门应当按照航道养护技术规范进行航道养护，保证航道处于良好通航技术状态。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第十六条 负责航道管理的部门应当根据航道现状技术等级或者航道自然条件确定并公布航道维护尺度和内河航道图。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航道维护尺度是指航道在不同水位期应当保持的水深、宽度、弯曲半径等技术要求。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七条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第十八条 海事管理机构发现航道损毁等危及通航安全的情形，应当及时通报负责航道管理的部门，并采取必要的安全保障措施。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其他单位和人员发现航道损毁等危及通航安全的情形，应当及时报告负责航道管理的部门或者海事管理机构。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第十九条 负责航道管理的部门应当合理安排航道养护作业，避免限制通航的集中作业和在通航高峰期作业。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负责航道管理的部门进行航道疏浚、清障等影响通航的航道养护活动，或者确需限制通航的养护作业的，应当设置明显的作业标志，采取必要的安全措施，并提前通报海事管理机构，保证过往船舶通行以及依法建设的工程设施的安全。养护作业结束后，应当及时清除影响航道通航条件的作业标志及其他残留物，恢复正常通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第二十条进行航道养护作业可能造成航道堵塞的，有关负责航道管理的部门应当会同海事管理机构事先通报相关区域负责航道管理的部门和海事管理机构，共同制定船舶疏导方案，并向社会公告。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第二十一条因自然灾害、事故灾难等突发事件造成航道损坏、阻塞的，负责航道管理的部门应当按照突发事件应急预案尽快修复抢通；必要时由县级以上人民政府组织尽快修复抢通。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船舶、设施或者其他物体在航道水域中沉没，影响航道畅通和通航安全的，其所有人或者经营人应当立即报告负责航道管理的部门和海事管理机构，按照规定自行或者委托负责航道管理的部门或者海事管理机构代为设置标志，并应当在海事管理机构限定的时间内打捞清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第二十二条 航标的设置、养护、保护和管理，依照有关法律、行政法规和国家标准或者行业标准的规定执行。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第二十三条 部队执行任务、战备训练需要使用航道的，负责航道管理的部门应当给予必要的支持和协助。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第五章 航道保护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第二十四条新建、改建、扩建（以下统称建设）跨越、穿越航道的桥梁、隧道、管道、缆线等建筑物、构筑物，应当符合该航道发展规划技术等级对通航净高、净宽、埋设深度等航道通航条件的要求。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第二十五条在通航河流上建设永久性拦河闸坝，建设单位应当按照航道发展规划技术等级建设通航建筑物。通航建筑物应当与主体工程同步规划、同步设计、同步建设、同步验收、同步投入使用。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闸坝建设期间难以维持航道原有通航能力的，建设单位应当采取修建临时航道、安排翻坝转运等补救措施，所需费用由建设单位承担。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在不通航河流上建设闸坝后可以通航的，闸坝建设单位应当同步建设通航建筑物或者预留通航建筑物位置，通航建筑物建设费用除国家另有规定外，由交通运输主管部门承担。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通航建筑物的运行应当适应船舶通行需要，运行方案应当经负责航道管理的部门同意并公布。通航建筑物的建设单位或者管理单位应当按照规定维护保养通航建筑物，保持其正常运行。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第二十六条 在航道保护范围内建设临河、临湖、临海建筑物或者构筑物，应当符合该航道通航条件的要求。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航道保护范围由县级以上地方人民政府交通运输主管部门会同水行政主管部门或者流域管理机构、国土资源主管部门根据航道发展规划技术等级和航道保护实际需要划定，报本级人民政府批准公布。国务院交通运输主管部门直接管理的航道的航道保护范围，由国务院交通运输主管部门会同国务院水行政主管部门、国务院国土资源主管部门和有关省、自治区、直辖市人民政府划定公布。航道保护范围涉及海域、重要渔业水域的，还应当分别会同同级海洋主管部门、渔业行政主管部门划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七条建设本法第二十四条、第二十五条第一款、第二十六条第一款规定的工程（以下统称与航道有关的工程），除依照法律、行政法规或者国务院规定进行的防洪、供水等特殊工程外，不得因工程建设降低航道通航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第二十八条建设与航道有关的工程，建设单位应当在工程可行性研究阶段就建设项目对航道通航条件的影响作出评价，并报送有审核权的交通运输主管部门或者航道管理机构审核，但下列工程除外：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（一）临河、临湖的中小河流治理工程；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（二）不通航河流上建设的水工程；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（三）现有水工程的水毁修复、除险加固、不涉及通航建筑物和不改变航道原通航条件的更新改造等不影响航道通航条件的工程。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建设单位报送的航道通航条件影响评价材料不符合本法规定的，可以进行补充或者修改，重新报送审核部门审核。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未进行航道通航条件影响评价或者经审核部门审核认为建设项目不符合本法规定的，负责建设项目审批或者核准的部门不予批准、核准，建设单位不得建设。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二十九条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条航道上相邻拦河闸坝之间的航道通航水位衔接，应当符合国家规定的通航标准和技术要求。位于航道及其上游支流上的水工程，应当在设计、施工和调度运行中统筹考虑下游航道设计最低通航水位所需的下泄流量，但水文条件超出实际标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保障下游航道通航所需的最小下泄流量以及满足航道通航条件允许的水位变化的确定，应当征求负责航道管理的部门的意见。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水工程需大幅度减流或者大流量泄水的，应当提前通报负责航道管理的部门和海事管理机构，给船舶避让留出合理的时间。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一条与航道有关的工程施工影响航道正常功能的，负责航道管理的部门、海事管理机构应当根据需要对航标或者航道的位置、走向进行临时调整；影响消除后应当及时恢复。所需费用由建设单位承担，但因防洪抢险工程引起调整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第三十二条 与航道有关的工程竣工验收前，建设单位应当及时清除影响航道通航条件的临时设施及其残留物。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第三十三条 与航道有关的工程建设活动不得危及航道安全。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与航道有关的工程建设活动损坏航道的，建设单位应当予以修复或者依法赔偿。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第三十四条 在通航水域上建设桥梁等建筑物，建设单位应当按照国家有关规定和技术要求设置航标等设施，并承担相应费用。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桥区水上航标由负责航道管理的部门、海事管理机构负责管理维护。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第三十五条 禁止下列危害航道通航安全的行为：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（一）在航道内设置渔具或者水产养殖设施的；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（二）在航道和航道保护范围内倾倒砂石、泥土、垃圾以及其他废弃物的；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（三）在通航建筑物及其引航道和船舶调度区内从事货物装卸、水上加油、船舶维修、捕鱼等，影响通航建筑物正常运行的；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（四）危害航道设施安全的；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（五）其他危害航道通航安全的行为。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第三十六条在河道内采砂，应当依照有关法律、行政法规的规定进行。禁止在河道内依法划定的砂石禁采区采砂、无证采砂、未按批准的范围和作业方式采砂等非法采砂行为。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在航道和航道保护范围内采砂，不得损害航道通航条件。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第三十七条本法施行前建设的拦河闸坝造成通航河流断航，需要恢复通航且具备建设通航建筑物条件的，由发展改革部门会同水行政主管部门、交通运输主管部门提出恢复通航方案，报本级人民政府决定。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第三十八条航道建设、勘察、设计、施工、监理单位在航道建设活动中违反本法规定的，由县级以上人民政府交通运输主管部门依照有关招标投标和工程建设管理的法律、行政法规的规定处罚。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三十九条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报送的航道通航条件影响评价材料未通过审核，建设单位开工建设的，由有审核权的交通运输主管部门或者航道管理机构责令停止建设、恢复原状，处二十万元以上五十万元以下的罚款。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第四十一条在通航水域上建设桥梁等建筑物，建设单位未按照规定设置航标等设施的，由负责航道管理的部门或者海事管理机构责令改正，处五万元以下罚款。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第四十二条违反本法规定，有下列行为之一的，由负责航道管理的部门责令改正，对单位处五万元以下罚款，对个人处二千元以下罚款；造成损失的，依法承担赔偿责任：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（一）在航道内设置渔具或者水产养殖设施的；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（二）在航道和航道保护范围内倾倒砂石、泥土、垃圾以及其他废弃物的；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（三）在通航建筑物及其引航道和船舶调度区内从事货物装卸、水上加油、船舶维修、捕鱼等，影响通航建筑物正常运行的；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（四）危害航道设施安全的；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（五）其他危害航道通航安全的行为。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第四十三条在河道内依法划定的砂石禁采区采砂、无证采砂、未按批准的范围和作业方式采砂等非法采砂的，依照有关法律、行政法规的规定处罚。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第四十四条 违反法律规定，污染环境、破坏生态或者有其他环境违法行为的，依照《中华人民共和国环境保护法》等法律的规定处罚。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第四十五条交通运输主管部门以及其他有关部门不依法履行本法规定的职责的，对直接负责的主管人员和其他直接责任人员依法给予处分。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负责航道管理的机构不依法履行本法规定的职责的，由其上级主管部门责令改正，对直接负责的主管人员和其他直接责任人员依法给予处分。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第四十六条 违反本法规定，构成违反治安管理行为的，依法给予治安管理处罚；构成犯罪的，依法追究刑事责任。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center"/>
        <w:textAlignment w:val="auto"/>
        <w:outlineLvl w:val="9"/>
        <w:rPr>
          <w:rStyle w:val="3"/>
          <w:rFonts w:hint="eastAsia" w:asciiTheme="minorEastAsia" w:hAnsiTheme="minorEastAsia" w:eastAsiaTheme="minorEastAsia" w:cstheme="minorEastAsia"/>
          <w:b/>
          <w:bCs/>
        </w:rPr>
      </w:pPr>
      <w:r>
        <w:rPr>
          <w:rStyle w:val="3"/>
          <w:rFonts w:hint="eastAsia" w:asciiTheme="minorEastAsia" w:hAnsiTheme="minorEastAsia" w:eastAsiaTheme="minorEastAsia" w:cstheme="minorEastAsia"/>
          <w:b/>
          <w:bCs/>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第四十七条 进出军事港口、渔业港口的专用航道不适用本法。专用航道由专用部门管理。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leftChars="0" w:right="0" w:rightChars="0" w:firstLine="420" w:firstLineChars="0"/>
        <w:jc w:val="both"/>
        <w:textAlignment w:val="auto"/>
        <w:outlineLvl w:val="9"/>
        <w:rPr>
          <w:rStyle w:val="3"/>
          <w:rFonts w:hint="eastAsia" w:asciiTheme="minorEastAsia" w:hAnsiTheme="minorEastAsia" w:eastAsiaTheme="minorEastAsia" w:cstheme="minorEastAsia"/>
        </w:rPr>
      </w:pPr>
      <w:r>
        <w:rPr>
          <w:rStyle w:val="3"/>
          <w:rFonts w:hint="eastAsia" w:asciiTheme="minorEastAsia" w:hAnsiTheme="minorEastAsia" w:eastAsiaTheme="minorEastAsia" w:cstheme="minorEastAsia"/>
        </w:rPr>
        <w:t>　　第四十八条 本法自2015年3月1日起施行。</w:t>
      </w:r>
    </w:p>
    <w:p>
      <w:pPr>
        <w:jc w:val="both"/>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9331A"/>
    <w:rsid w:val="641354B3"/>
    <w:rsid w:val="695A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2020-02-19T08:43:47Z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